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4D" w:rsidRDefault="004C595A">
      <w:r>
        <w:rPr>
          <w:noProof/>
        </w:rPr>
        <w:drawing>
          <wp:inline distT="0" distB="0" distL="0" distR="0">
            <wp:extent cx="5753098"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723900"/>
                    </a:xfrm>
                    <a:prstGeom prst="rect">
                      <a:avLst/>
                    </a:prstGeom>
                    <a:ln/>
                  </pic:spPr>
                </pic:pic>
              </a:graphicData>
            </a:graphic>
          </wp:inline>
        </w:drawing>
      </w:r>
    </w:p>
    <w:p w:rsidR="0005164D" w:rsidRDefault="00627F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164D" w:rsidRDefault="004C59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Správa o činnosti pedagogického klubu  </w:t>
      </w:r>
    </w:p>
    <w:p w:rsidR="0005164D" w:rsidRDefault="0005164D">
      <w:pPr>
        <w:jc w:val="center"/>
        <w:rPr>
          <w:rFonts w:ascii="Times New Roman" w:eastAsia="Times New Roman" w:hAnsi="Times New Roman" w:cs="Times New Roman"/>
          <w:sz w:val="24"/>
          <w:szCs w:val="24"/>
        </w:rPr>
      </w:pPr>
      <w:bookmarkStart w:id="0" w:name="_GoBack"/>
      <w:bookmarkEnd w:id="0"/>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rsidR="0005164D" w:rsidRDefault="004C595A">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p>
        </w:tc>
        <w:tc>
          <w:tcPr>
            <w:tcW w:w="4606" w:type="dxa"/>
          </w:tcPr>
          <w:p w:rsidR="0005164D" w:rsidRDefault="004C595A">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rsidR="0005164D" w:rsidRDefault="004C595A">
            <w:pPr>
              <w:tabs>
                <w:tab w:val="left" w:pos="4007"/>
              </w:tabs>
              <w:spacing w:after="0" w:line="240" w:lineRule="auto"/>
            </w:pPr>
            <w:r>
              <w:t>Stredná priemyselná škola stavebná a geodetická, Drieňová 35, 826 64 Bratislava</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rsidR="0005164D" w:rsidRDefault="004C595A">
            <w:pPr>
              <w:spacing w:after="0" w:line="240" w:lineRule="auto"/>
              <w:rPr>
                <w:color w:val="000000"/>
              </w:rPr>
            </w:pPr>
            <w:r>
              <w:rPr>
                <w:color w:val="000000"/>
              </w:rPr>
              <w:t>Zvýšenie kvality odborného vzdelávania a prípravy na Strednej priemyselnej škole stavebnej a geodetickej</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rsidR="0005164D" w:rsidRDefault="004C595A">
            <w:pPr>
              <w:tabs>
                <w:tab w:val="left" w:pos="4007"/>
              </w:tabs>
              <w:spacing w:after="0" w:line="240" w:lineRule="auto"/>
            </w:pPr>
            <w:r>
              <w:rPr>
                <w:color w:val="000000"/>
                <w:shd w:val="clear" w:color="auto" w:fill="F2F6F9"/>
              </w:rPr>
              <w:t>312011Z818</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rsidR="0005164D" w:rsidRDefault="004C595A">
            <w:pPr>
              <w:tabs>
                <w:tab w:val="left" w:pos="4007"/>
              </w:tabs>
              <w:spacing w:after="0" w:line="240" w:lineRule="auto"/>
            </w:pPr>
            <w:r>
              <w:rPr>
                <w:rFonts w:ascii="Times New Roman" w:eastAsia="Times New Roman" w:hAnsi="Times New Roman" w:cs="Times New Roman"/>
              </w:rPr>
              <w:t>Jazykový klub</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rsidR="0005164D" w:rsidRDefault="000669B5" w:rsidP="000669B5">
            <w:pPr>
              <w:tabs>
                <w:tab w:val="left" w:pos="4007"/>
              </w:tabs>
              <w:spacing w:after="0" w:line="240" w:lineRule="auto"/>
            </w:pPr>
            <w:r>
              <w:t>22</w:t>
            </w:r>
            <w:r w:rsidR="00EA293A">
              <w:t>.11</w:t>
            </w:r>
            <w:r w:rsidR="004C595A">
              <w:t>.2021</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rsidR="0005164D" w:rsidRDefault="004E366A" w:rsidP="000669B5">
            <w:pPr>
              <w:spacing w:after="0" w:line="240" w:lineRule="auto"/>
            </w:pPr>
            <w:r>
              <w:t xml:space="preserve">Učebňa </w:t>
            </w:r>
            <w:r w:rsidR="000669B5">
              <w:t>MULTI 3</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rsidR="0005164D" w:rsidRDefault="004C595A">
            <w:pPr>
              <w:tabs>
                <w:tab w:val="left" w:pos="4007"/>
              </w:tabs>
              <w:spacing w:after="0" w:line="240" w:lineRule="auto"/>
            </w:pPr>
            <w:r>
              <w:t>Mgr. Eva Madiová</w:t>
            </w:r>
          </w:p>
        </w:tc>
      </w:tr>
      <w:tr w:rsidR="0005164D">
        <w:tc>
          <w:tcPr>
            <w:tcW w:w="4606" w:type="dxa"/>
          </w:tcPr>
          <w:p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rsidR="0005164D" w:rsidRDefault="0005164D">
            <w:pPr>
              <w:tabs>
                <w:tab w:val="left" w:pos="4007"/>
              </w:tabs>
              <w:spacing w:after="0" w:line="240" w:lineRule="auto"/>
            </w:pPr>
          </w:p>
        </w:tc>
      </w:tr>
    </w:tbl>
    <w:p w:rsidR="0005164D" w:rsidRDefault="0005164D">
      <w:pPr>
        <w:pBdr>
          <w:top w:val="nil"/>
          <w:left w:val="nil"/>
          <w:bottom w:val="nil"/>
          <w:right w:val="nil"/>
          <w:between w:val="nil"/>
        </w:pBdr>
        <w:ind w:left="720"/>
        <w:rPr>
          <w:rFonts w:ascii="Times New Roman" w:eastAsia="Times New Roman" w:hAnsi="Times New Roman" w:cs="Times New Roman"/>
          <w:color w:val="000000"/>
        </w:rPr>
      </w:pPr>
    </w:p>
    <w:tbl>
      <w:tblPr>
        <w:tblStyle w:val="a0"/>
        <w:tblW w:w="9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7"/>
      </w:tblGrid>
      <w:tr w:rsidR="0005164D" w:rsidTr="00284807">
        <w:trPr>
          <w:trHeight w:val="6204"/>
        </w:trPr>
        <w:tc>
          <w:tcPr>
            <w:tcW w:w="9167" w:type="dxa"/>
          </w:tcPr>
          <w:p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rsidR="0005164D" w:rsidRDefault="0005164D">
            <w:pPr>
              <w:tabs>
                <w:tab w:val="left" w:pos="1114"/>
              </w:tabs>
              <w:spacing w:after="0" w:line="240" w:lineRule="auto"/>
              <w:jc w:val="both"/>
              <w:rPr>
                <w:rFonts w:ascii="Times New Roman" w:eastAsia="Times New Roman" w:hAnsi="Times New Roman" w:cs="Times New Roman"/>
                <w:b/>
              </w:rPr>
            </w:pPr>
          </w:p>
          <w:p w:rsidR="0005164D" w:rsidRDefault="004C595A">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b/>
              </w:rPr>
              <w:t>Kľúčové slová:</w:t>
            </w:r>
            <w:r>
              <w:t xml:space="preserve"> </w:t>
            </w:r>
            <w:r w:rsidR="00AA51E9">
              <w:rPr>
                <w:rFonts w:ascii="Times New Roman" w:eastAsia="Times New Roman" w:hAnsi="Times New Roman" w:cs="Times New Roman"/>
              </w:rPr>
              <w:t>e-</w:t>
            </w:r>
            <w:proofErr w:type="spellStart"/>
            <w:r w:rsidR="000669B5">
              <w:rPr>
                <w:rFonts w:ascii="Times New Roman" w:eastAsia="Times New Roman" w:hAnsi="Times New Roman" w:cs="Times New Roman"/>
              </w:rPr>
              <w:t>learnig</w:t>
            </w:r>
            <w:proofErr w:type="spellEnd"/>
            <w:r w:rsidR="00300516">
              <w:rPr>
                <w:rFonts w:ascii="Times New Roman" w:eastAsia="Times New Roman" w:hAnsi="Times New Roman" w:cs="Times New Roman"/>
              </w:rPr>
              <w:t xml:space="preserve">, </w:t>
            </w:r>
            <w:r w:rsidR="000669B5">
              <w:rPr>
                <w:rFonts w:ascii="Times New Roman" w:eastAsia="Times New Roman" w:hAnsi="Times New Roman" w:cs="Times New Roman"/>
              </w:rPr>
              <w:t>dištančná</w:t>
            </w:r>
            <w:r w:rsidR="00913283">
              <w:rPr>
                <w:rFonts w:ascii="Times New Roman" w:eastAsia="Times New Roman" w:hAnsi="Times New Roman" w:cs="Times New Roman"/>
              </w:rPr>
              <w:t xml:space="preserve"> a prezenčná</w:t>
            </w:r>
            <w:r w:rsidR="000669B5">
              <w:rPr>
                <w:rFonts w:ascii="Times New Roman" w:eastAsia="Times New Roman" w:hAnsi="Times New Roman" w:cs="Times New Roman"/>
              </w:rPr>
              <w:t xml:space="preserve"> výučba</w:t>
            </w:r>
            <w:r w:rsidR="00300516">
              <w:rPr>
                <w:rFonts w:ascii="Times New Roman" w:eastAsia="Times New Roman" w:hAnsi="Times New Roman" w:cs="Times New Roman"/>
              </w:rPr>
              <w:t xml:space="preserve">, </w:t>
            </w:r>
            <w:r w:rsidR="007115CC">
              <w:rPr>
                <w:rFonts w:ascii="Times New Roman" w:eastAsia="Times New Roman" w:hAnsi="Times New Roman" w:cs="Times New Roman"/>
              </w:rPr>
              <w:t>práca s IKT</w:t>
            </w:r>
          </w:p>
          <w:p w:rsidR="0005164D" w:rsidRDefault="0005164D">
            <w:pPr>
              <w:tabs>
                <w:tab w:val="left" w:pos="1114"/>
              </w:tabs>
              <w:spacing w:after="0" w:line="240" w:lineRule="auto"/>
              <w:jc w:val="both"/>
            </w:pPr>
          </w:p>
          <w:p w:rsidR="0005164D" w:rsidRDefault="004C595A">
            <w:pPr>
              <w:tabs>
                <w:tab w:val="left" w:pos="1114"/>
              </w:tabs>
              <w:spacing w:after="0" w:line="240" w:lineRule="auto"/>
              <w:jc w:val="both"/>
            </w:pPr>
            <w:r>
              <w:rPr>
                <w:rFonts w:ascii="Times New Roman" w:eastAsia="Times New Roman" w:hAnsi="Times New Roman" w:cs="Times New Roman"/>
              </w:rPr>
              <w:t xml:space="preserve">Na </w:t>
            </w:r>
            <w:r w:rsidR="000669B5">
              <w:rPr>
                <w:rFonts w:ascii="Times New Roman" w:eastAsia="Times New Roman" w:hAnsi="Times New Roman" w:cs="Times New Roman"/>
              </w:rPr>
              <w:t>šiestom</w:t>
            </w:r>
            <w:r w:rsidR="009B1399">
              <w:rPr>
                <w:rFonts w:ascii="Times New Roman" w:eastAsia="Times New Roman" w:hAnsi="Times New Roman" w:cs="Times New Roman"/>
              </w:rPr>
              <w:t xml:space="preserve"> stretnutí</w:t>
            </w:r>
            <w:r w:rsidR="00576CF7">
              <w:rPr>
                <w:rFonts w:ascii="Times New Roman" w:eastAsia="Times New Roman" w:hAnsi="Times New Roman" w:cs="Times New Roman"/>
              </w:rPr>
              <w:t xml:space="preserve"> pedagogického Klubu j</w:t>
            </w:r>
            <w:r>
              <w:rPr>
                <w:rFonts w:ascii="Times New Roman" w:eastAsia="Times New Roman" w:hAnsi="Times New Roman" w:cs="Times New Roman"/>
              </w:rPr>
              <w:t>azyk</w:t>
            </w:r>
            <w:r w:rsidR="001A1BB4">
              <w:rPr>
                <w:rFonts w:ascii="Times New Roman" w:eastAsia="Times New Roman" w:hAnsi="Times New Roman" w:cs="Times New Roman"/>
              </w:rPr>
              <w:t xml:space="preserve"> </w:t>
            </w:r>
            <w:r>
              <w:rPr>
                <w:rFonts w:ascii="Times New Roman" w:eastAsia="Times New Roman" w:hAnsi="Times New Roman" w:cs="Times New Roman"/>
              </w:rPr>
              <w:t xml:space="preserve">v školskom roku 2021/2022 sme </w:t>
            </w:r>
            <w:r w:rsidR="007115CC">
              <w:rPr>
                <w:rFonts w:ascii="Times New Roman" w:eastAsia="Times New Roman" w:hAnsi="Times New Roman" w:cs="Times New Roman"/>
              </w:rPr>
              <w:t>konzultovali e-</w:t>
            </w:r>
            <w:r w:rsidR="000669B5">
              <w:rPr>
                <w:rFonts w:ascii="Times New Roman" w:eastAsia="Times New Roman" w:hAnsi="Times New Roman" w:cs="Times New Roman"/>
              </w:rPr>
              <w:t>learning a </w:t>
            </w:r>
            <w:r w:rsidR="008F4651">
              <w:rPr>
                <w:rFonts w:ascii="Times New Roman" w:eastAsia="Times New Roman" w:hAnsi="Times New Roman" w:cs="Times New Roman"/>
              </w:rPr>
              <w:t>porovnanie</w:t>
            </w:r>
            <w:r w:rsidR="000669B5">
              <w:rPr>
                <w:rFonts w:ascii="Times New Roman" w:eastAsia="Times New Roman" w:hAnsi="Times New Roman" w:cs="Times New Roman"/>
              </w:rPr>
              <w:t xml:space="preserve"> skúseností s e-learningom v školskom systéme.</w:t>
            </w: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p w:rsidR="0005164D" w:rsidRDefault="0005164D">
            <w:pPr>
              <w:tabs>
                <w:tab w:val="left" w:pos="1114"/>
              </w:tabs>
              <w:spacing w:after="0" w:line="240" w:lineRule="auto"/>
              <w:jc w:val="both"/>
              <w:rPr>
                <w:rFonts w:ascii="Times New Roman" w:eastAsia="Times New Roman" w:hAnsi="Times New Roman" w:cs="Times New Roman"/>
              </w:rPr>
            </w:pPr>
          </w:p>
        </w:tc>
      </w:tr>
      <w:tr w:rsidR="0005164D" w:rsidTr="00284807">
        <w:trPr>
          <w:trHeight w:val="6204"/>
        </w:trPr>
        <w:tc>
          <w:tcPr>
            <w:tcW w:w="9167" w:type="dxa"/>
          </w:tcPr>
          <w:p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Hlavné body, témy stretnutia, zhrnutie priebehu stretnutia:</w:t>
            </w:r>
            <w:r>
              <w:rPr>
                <w:rFonts w:ascii="Times New Roman" w:eastAsia="Times New Roman" w:hAnsi="Times New Roman" w:cs="Times New Roman"/>
                <w:color w:val="000000"/>
              </w:rPr>
              <w:t xml:space="preserve"> </w:t>
            </w:r>
          </w:p>
          <w:p w:rsidR="0005164D" w:rsidRDefault="0005164D">
            <w:pPr>
              <w:tabs>
                <w:tab w:val="left" w:pos="1114"/>
              </w:tabs>
              <w:spacing w:after="0" w:line="240" w:lineRule="auto"/>
              <w:jc w:val="both"/>
              <w:rPr>
                <w:rFonts w:ascii="Times New Roman" w:eastAsia="Times New Roman" w:hAnsi="Times New Roman" w:cs="Times New Roman"/>
              </w:rPr>
            </w:pPr>
          </w:p>
          <w:p w:rsidR="005C673F" w:rsidRDefault="004C595A" w:rsidP="005C673F">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Aktivity </w:t>
            </w:r>
            <w:r w:rsidR="00913283">
              <w:rPr>
                <w:rFonts w:ascii="Times New Roman" w:eastAsia="Times New Roman" w:hAnsi="Times New Roman" w:cs="Times New Roman"/>
              </w:rPr>
              <w:t>šiesteho</w:t>
            </w:r>
            <w:r w:rsidR="005C673F">
              <w:rPr>
                <w:rFonts w:ascii="Times New Roman" w:eastAsia="Times New Roman" w:hAnsi="Times New Roman" w:cs="Times New Roman"/>
              </w:rPr>
              <w:t xml:space="preserve"> stretnutia:</w:t>
            </w:r>
          </w:p>
          <w:p w:rsidR="005D4226" w:rsidRDefault="00913283" w:rsidP="00913283">
            <w:pPr>
              <w:pBdr>
                <w:top w:val="nil"/>
                <w:left w:val="nil"/>
                <w:bottom w:val="nil"/>
                <w:right w:val="nil"/>
                <w:between w:val="nil"/>
              </w:pBdr>
              <w:tabs>
                <w:tab w:val="left" w:pos="1114"/>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1. Zhodnotili sme skúsenosti s e-learningom počas dištančného vyučovania v predmete SJL. Vyučovanie sme zamerali na prideľovanie úloh a projektov, online testovanie, prípravu prezentác</w:t>
            </w:r>
            <w:r w:rsidR="008F4651">
              <w:rPr>
                <w:rFonts w:ascii="Times New Roman" w:eastAsia="Times New Roman" w:hAnsi="Times New Roman" w:cs="Times New Roman"/>
                <w:color w:val="000000"/>
              </w:rPr>
              <w:t>ií počas online hodín a</w:t>
            </w:r>
            <w:r>
              <w:rPr>
                <w:rFonts w:ascii="Times New Roman" w:eastAsia="Times New Roman" w:hAnsi="Times New Roman" w:cs="Times New Roman"/>
                <w:color w:val="000000"/>
              </w:rPr>
              <w:t>j samostatné práce žiakov. Podľa našich skúseností s dištančnou výučbou je možné dodržať TVVP, avšak nie je možné zabezpečiť objektivitu pri hodnotení online testov ani samostatných úloh. Náročnosť vidíme aj v obsluhe IKT zariadení a celkom spomalení vyučovacej hodiny. Zároveň upozorňujeme, že prípravy aj vyhodnotenia žiackych prác a testov sú časovo veľmi náročné. Výhodou takéhoto vyučovania je vari</w:t>
            </w:r>
            <w:r w:rsidR="00AE2FC2">
              <w:rPr>
                <w:rFonts w:ascii="Times New Roman" w:eastAsia="Times New Roman" w:hAnsi="Times New Roman" w:cs="Times New Roman"/>
                <w:color w:val="000000"/>
              </w:rPr>
              <w:t>abilnosť vyučovacích metód v online priestore.</w:t>
            </w:r>
          </w:p>
          <w:p w:rsidR="00AE2FC2" w:rsidRDefault="00AE2FC2" w:rsidP="00AE2FC2">
            <w:pPr>
              <w:pBdr>
                <w:top w:val="nil"/>
                <w:left w:val="nil"/>
                <w:bottom w:val="nil"/>
                <w:right w:val="nil"/>
                <w:between w:val="nil"/>
              </w:pBdr>
              <w:tabs>
                <w:tab w:val="left" w:pos="1114"/>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Učitelia ANJ vyzdvihli prepracovanosť a podporu pre online formu výučby v učebniciach </w:t>
            </w:r>
            <w:proofErr w:type="spellStart"/>
            <w:r>
              <w:rPr>
                <w:rFonts w:ascii="Times New Roman" w:eastAsia="Times New Roman" w:hAnsi="Times New Roman" w:cs="Times New Roman"/>
                <w:color w:val="000000"/>
              </w:rPr>
              <w:t>Headway</w:t>
            </w:r>
            <w:proofErr w:type="spellEnd"/>
            <w:r>
              <w:rPr>
                <w:rFonts w:ascii="Times New Roman" w:eastAsia="Times New Roman" w:hAnsi="Times New Roman" w:cs="Times New Roman"/>
                <w:color w:val="000000"/>
              </w:rPr>
              <w:t xml:space="preserve">, čím sa učenie stáva rozmanitejším. Pri online vyučovaní je väčší výber priblížiť žiakom výslovnosť jazyka v rôznych anglofónnych krajinách. Pre mnohých žiakov, ktorí nemajú problém s technologickým vybavením, je atraktívnejšie pracovať v online priestore. </w:t>
            </w:r>
            <w:r w:rsidR="008F4651">
              <w:rPr>
                <w:rFonts w:ascii="Times New Roman" w:eastAsia="Times New Roman" w:hAnsi="Times New Roman" w:cs="Times New Roman"/>
                <w:color w:val="000000"/>
              </w:rPr>
              <w:t>Ako výhodu e-</w:t>
            </w:r>
            <w:proofErr w:type="spellStart"/>
            <w:r w:rsidR="008F4651">
              <w:rPr>
                <w:rFonts w:ascii="Times New Roman" w:eastAsia="Times New Roman" w:hAnsi="Times New Roman" w:cs="Times New Roman"/>
                <w:color w:val="000000"/>
              </w:rPr>
              <w:t>learnigu</w:t>
            </w:r>
            <w:proofErr w:type="spellEnd"/>
            <w:r w:rsidR="008F4651">
              <w:rPr>
                <w:rFonts w:ascii="Times New Roman" w:eastAsia="Times New Roman" w:hAnsi="Times New Roman" w:cs="Times New Roman"/>
                <w:color w:val="000000"/>
              </w:rPr>
              <w:t xml:space="preserve"> vidíme filtráciu akýchkoľvek rušivých elementov, ako je nedisciplinovanosť na hodine, ale zároveň malý dosah učiteľa na pozornosť žiakov. </w:t>
            </w:r>
            <w:r>
              <w:rPr>
                <w:rFonts w:ascii="Times New Roman" w:eastAsia="Times New Roman" w:hAnsi="Times New Roman" w:cs="Times New Roman"/>
                <w:color w:val="000000"/>
              </w:rPr>
              <w:t>Na druhej strane akcentujeme</w:t>
            </w:r>
            <w:r w:rsidR="008F4651">
              <w:rPr>
                <w:rFonts w:ascii="Times New Roman" w:eastAsia="Times New Roman" w:hAnsi="Times New Roman" w:cs="Times New Roman"/>
                <w:color w:val="000000"/>
              </w:rPr>
              <w:t xml:space="preserve"> značnú </w:t>
            </w:r>
            <w:proofErr w:type="spellStart"/>
            <w:r w:rsidR="008F4651">
              <w:rPr>
                <w:rFonts w:ascii="Times New Roman" w:eastAsia="Times New Roman" w:hAnsi="Times New Roman" w:cs="Times New Roman"/>
                <w:color w:val="000000"/>
              </w:rPr>
              <w:t>obtiažnosť</w:t>
            </w:r>
            <w:proofErr w:type="spellEnd"/>
            <w:r>
              <w:rPr>
                <w:rFonts w:ascii="Times New Roman" w:eastAsia="Times New Roman" w:hAnsi="Times New Roman" w:cs="Times New Roman"/>
                <w:color w:val="000000"/>
              </w:rPr>
              <w:t xml:space="preserve"> kontroly na</w:t>
            </w:r>
            <w:r w:rsidR="008F4651">
              <w:rPr>
                <w:rFonts w:ascii="Times New Roman" w:eastAsia="Times New Roman" w:hAnsi="Times New Roman" w:cs="Times New Roman"/>
                <w:color w:val="000000"/>
              </w:rPr>
              <w:t>d samostatnou prácou žiakov, využitím</w:t>
            </w:r>
            <w:r>
              <w:rPr>
                <w:rFonts w:ascii="Times New Roman" w:eastAsia="Times New Roman" w:hAnsi="Times New Roman" w:cs="Times New Roman"/>
                <w:color w:val="000000"/>
              </w:rPr>
              <w:t xml:space="preserve"> plagiátorstva alebo podvodu.</w:t>
            </w:r>
            <w:r w:rsidR="009E5C1F">
              <w:rPr>
                <w:rFonts w:ascii="Times New Roman" w:eastAsia="Times New Roman" w:hAnsi="Times New Roman" w:cs="Times New Roman"/>
                <w:color w:val="000000"/>
              </w:rPr>
              <w:t xml:space="preserve"> E-learning a online vyučovacie hodiny dávajú priestor pre aktivitu žiakov, ktorí majú záujem vzdelávať sa a prezentovať sa, vypracovanie projektov je pre nich zaujímavejšie v online aplikáciách a programoch než pri prezenčnej výučbe.</w:t>
            </w:r>
          </w:p>
          <w:p w:rsidR="00AE2FC2" w:rsidRDefault="00AE2FC2" w:rsidP="00AE2FC2">
            <w:pPr>
              <w:pBdr>
                <w:top w:val="nil"/>
                <w:left w:val="nil"/>
                <w:bottom w:val="nil"/>
                <w:right w:val="nil"/>
                <w:between w:val="nil"/>
              </w:pBdr>
              <w:tabs>
                <w:tab w:val="left" w:pos="1114"/>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3.  Ako výhodu učitelia DEJ zdôraznili možnosť prehrať krátke dokumentárne videá, možnosť využívať online mapy, majú možnosť vybrať si zo širšej ponuky atraktívnych vyučovacích metód, napr. karikatúry, ilustrácie, historické pramene. Ako nevýhodu vidíme nepresnosť zdrojov informácií, z ktorých žiaci čerpajú.</w:t>
            </w:r>
          </w:p>
          <w:p w:rsidR="008F4651" w:rsidRPr="004B5211" w:rsidRDefault="008F4651" w:rsidP="008F4651">
            <w:pPr>
              <w:pBdr>
                <w:top w:val="nil"/>
                <w:left w:val="nil"/>
                <w:bottom w:val="nil"/>
                <w:right w:val="nil"/>
                <w:between w:val="nil"/>
              </w:pBdr>
              <w:tabs>
                <w:tab w:val="left" w:pos="1114"/>
              </w:tabs>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4. V prípade OBN žiaci môžu využívať elektronické pramene, učia sa pracovať so stránkou Slov-lex, hľadajú informácie v Z. z., učia sa navštevovať rôzne internetové stránky, ktoré budú ako občania potrebovať</w:t>
            </w:r>
            <w:r w:rsidR="00757B7C">
              <w:rPr>
                <w:rFonts w:ascii="Times New Roman" w:eastAsia="Times New Roman" w:hAnsi="Times New Roman" w:cs="Times New Roman"/>
                <w:color w:val="000000"/>
              </w:rPr>
              <w:t xml:space="preserve"> (napr. stránka Slovenskej obchodnej inšpekcia a pod.)</w:t>
            </w:r>
            <w:r>
              <w:rPr>
                <w:rFonts w:ascii="Times New Roman" w:eastAsia="Times New Roman" w:hAnsi="Times New Roman" w:cs="Times New Roman"/>
                <w:color w:val="000000"/>
              </w:rPr>
              <w:t xml:space="preserve">, pracujú s online žiadosťami, napr. </w:t>
            </w:r>
            <w:proofErr w:type="spellStart"/>
            <w:r>
              <w:rPr>
                <w:rFonts w:ascii="Times New Roman" w:eastAsia="Times New Roman" w:hAnsi="Times New Roman" w:cs="Times New Roman"/>
                <w:color w:val="000000"/>
              </w:rPr>
              <w:t>Europass</w:t>
            </w:r>
            <w:proofErr w:type="spellEnd"/>
            <w:r w:rsidR="00757B7C">
              <w:rPr>
                <w:rFonts w:ascii="Times New Roman" w:eastAsia="Times New Roman" w:hAnsi="Times New Roman" w:cs="Times New Roman"/>
                <w:color w:val="000000"/>
              </w:rPr>
              <w:t>.</w:t>
            </w:r>
          </w:p>
        </w:tc>
      </w:tr>
      <w:tr w:rsidR="0005164D" w:rsidTr="00DA5EA3">
        <w:trPr>
          <w:trHeight w:val="2885"/>
        </w:trPr>
        <w:tc>
          <w:tcPr>
            <w:tcW w:w="9167" w:type="dxa"/>
          </w:tcPr>
          <w:p w:rsidR="00A52C09" w:rsidRPr="00F36F71" w:rsidRDefault="004C595A" w:rsidP="00E57DCE">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Závery a odporúčania:</w:t>
            </w:r>
            <w:bookmarkStart w:id="1" w:name="_gjdgxs" w:colFirst="0" w:colLast="0"/>
            <w:bookmarkEnd w:id="1"/>
          </w:p>
          <w:p w:rsidR="00F36F71" w:rsidRPr="00E57DCE" w:rsidRDefault="00F36F71" w:rsidP="00F36F71">
            <w:p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p>
          <w:p w:rsidR="0005164D" w:rsidRPr="00757B7C" w:rsidRDefault="00913283" w:rsidP="008F4651">
            <w:pPr>
              <w:pBdr>
                <w:top w:val="nil"/>
                <w:left w:val="nil"/>
                <w:bottom w:val="nil"/>
                <w:right w:val="nil"/>
                <w:between w:val="nil"/>
              </w:pBdr>
              <w:tabs>
                <w:tab w:val="left" w:pos="731"/>
              </w:tabs>
              <w:spacing w:after="0" w:line="240" w:lineRule="auto"/>
              <w:jc w:val="both"/>
              <w:rPr>
                <w:rFonts w:ascii="Times New Roman" w:eastAsia="Times New Roman" w:hAnsi="Times New Roman" w:cs="Times New Roman"/>
              </w:rPr>
            </w:pPr>
            <w:proofErr w:type="spellStart"/>
            <w:r w:rsidRPr="00757B7C">
              <w:rPr>
                <w:rFonts w:ascii="Times New Roman" w:eastAsia="Times New Roman" w:hAnsi="Times New Roman" w:cs="Times New Roman"/>
              </w:rPr>
              <w:t>E-Learning</w:t>
            </w:r>
            <w:proofErr w:type="spellEnd"/>
            <w:r w:rsidRPr="00757B7C">
              <w:rPr>
                <w:rFonts w:ascii="Times New Roman" w:eastAsia="Times New Roman" w:hAnsi="Times New Roman" w:cs="Times New Roman"/>
              </w:rPr>
              <w:t>, predstavuje najmodernejší spôsob výučby.</w:t>
            </w:r>
            <w:r w:rsidR="008F4651" w:rsidRPr="00757B7C">
              <w:rPr>
                <w:rFonts w:ascii="Times New Roman" w:eastAsia="Times New Roman" w:hAnsi="Times New Roman" w:cs="Times New Roman"/>
              </w:rPr>
              <w:t xml:space="preserve"> Počas uplynulých dvoch školských rokov sme mali na našej škole možnosť plne toto prostredie využiť. Pri prezenčnom vyučovaní čerpáme v súčasnosti z podkladov, ktoré sme si počas dištančnej výučby pripravili a priebežne ich rozširujeme. E-learning chápeme ako</w:t>
            </w:r>
            <w:r w:rsidRPr="00757B7C">
              <w:rPr>
                <w:rFonts w:ascii="Times New Roman" w:eastAsia="Times New Roman" w:hAnsi="Times New Roman" w:cs="Times New Roman"/>
              </w:rPr>
              <w:t xml:space="preserve"> implemen</w:t>
            </w:r>
            <w:r w:rsidR="008F4651" w:rsidRPr="00757B7C">
              <w:rPr>
                <w:rFonts w:ascii="Times New Roman" w:eastAsia="Times New Roman" w:hAnsi="Times New Roman" w:cs="Times New Roman"/>
              </w:rPr>
              <w:t>táciu</w:t>
            </w:r>
            <w:r w:rsidRPr="00757B7C">
              <w:rPr>
                <w:rFonts w:ascii="Times New Roman" w:eastAsia="Times New Roman" w:hAnsi="Times New Roman" w:cs="Times New Roman"/>
              </w:rPr>
              <w:t xml:space="preserve"> informačných technológií </w:t>
            </w:r>
            <w:r w:rsidR="00757B7C">
              <w:rPr>
                <w:rFonts w:ascii="Times New Roman" w:eastAsia="Times New Roman" w:hAnsi="Times New Roman" w:cs="Times New Roman"/>
              </w:rPr>
              <w:t>do</w:t>
            </w:r>
            <w:r w:rsidRPr="00757B7C">
              <w:rPr>
                <w:rFonts w:ascii="Times New Roman" w:eastAsia="Times New Roman" w:hAnsi="Times New Roman" w:cs="Times New Roman"/>
              </w:rPr>
              <w:t xml:space="preserve"> vývoja, distribúcie a riadenia vzdelávania alebo výučby</w:t>
            </w:r>
            <w:r w:rsidR="008F4651" w:rsidRPr="00757B7C">
              <w:rPr>
                <w:rFonts w:ascii="Times New Roman" w:eastAsia="Times New Roman" w:hAnsi="Times New Roman" w:cs="Times New Roman"/>
              </w:rPr>
              <w:t>, ale zároveň upozorňujeme, že najefektívnejší spôsob výučby pre žiakov je prezenčné vyučovanie v kombinácii s e-learningom a dôrazom na osobný kontakt.</w:t>
            </w:r>
          </w:p>
        </w:tc>
      </w:tr>
    </w:tbl>
    <w:p w:rsidR="00A75045" w:rsidRDefault="00A75045">
      <w:pPr>
        <w:tabs>
          <w:tab w:val="left" w:pos="1114"/>
        </w:tabs>
      </w:pPr>
    </w:p>
    <w:tbl>
      <w:tblPr>
        <w:tblStyle w:val="a1"/>
        <w:tblpPr w:leftFromText="141" w:rightFromText="141" w:vertAnchor="text" w:horzAnchor="margin" w:tblpY="24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DA5EA3" w:rsidTr="00DA5EA3">
        <w:tc>
          <w:tcPr>
            <w:tcW w:w="4077" w:type="dxa"/>
          </w:tcPr>
          <w:p w:rsidR="00DA5EA3" w:rsidRDefault="00DA5EA3" w:rsidP="00DA5EA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rsidR="00DA5EA3" w:rsidRDefault="00DA5EA3" w:rsidP="00DA5EA3">
            <w:pPr>
              <w:tabs>
                <w:tab w:val="left" w:pos="1114"/>
              </w:tabs>
              <w:spacing w:after="0" w:line="240" w:lineRule="auto"/>
            </w:pPr>
            <w:r>
              <w:t>Mgr. Eva Madiová</w:t>
            </w:r>
          </w:p>
        </w:tc>
      </w:tr>
      <w:tr w:rsidR="00DA5EA3" w:rsidTr="00DA5EA3">
        <w:tc>
          <w:tcPr>
            <w:tcW w:w="4077" w:type="dxa"/>
          </w:tcPr>
          <w:p w:rsidR="00DA5EA3" w:rsidRDefault="00DA5EA3" w:rsidP="00DA5EA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DA5EA3" w:rsidRDefault="00DA5EA3" w:rsidP="00DA5EA3">
            <w:pPr>
              <w:tabs>
                <w:tab w:val="left" w:pos="1114"/>
              </w:tabs>
              <w:spacing w:after="0" w:line="240" w:lineRule="auto"/>
            </w:pPr>
            <w:r>
              <w:t>22.11.2021</w:t>
            </w:r>
          </w:p>
        </w:tc>
      </w:tr>
      <w:tr w:rsidR="00DA5EA3" w:rsidTr="00DA5EA3">
        <w:tc>
          <w:tcPr>
            <w:tcW w:w="4077" w:type="dxa"/>
          </w:tcPr>
          <w:p w:rsidR="00DA5EA3" w:rsidRDefault="00DA5EA3" w:rsidP="00DA5EA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DA5EA3" w:rsidRDefault="00DA5EA3" w:rsidP="00DA5EA3">
            <w:pPr>
              <w:tabs>
                <w:tab w:val="left" w:pos="1114"/>
              </w:tabs>
              <w:spacing w:after="0" w:line="240" w:lineRule="auto"/>
            </w:pPr>
          </w:p>
        </w:tc>
      </w:tr>
      <w:tr w:rsidR="00DA5EA3" w:rsidTr="00DA5EA3">
        <w:tc>
          <w:tcPr>
            <w:tcW w:w="4077" w:type="dxa"/>
          </w:tcPr>
          <w:p w:rsidR="00DA5EA3" w:rsidRDefault="00DA5EA3" w:rsidP="00DA5EA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rsidR="00DA5EA3" w:rsidRDefault="00DA5EA3" w:rsidP="00DA5EA3">
            <w:pPr>
              <w:tabs>
                <w:tab w:val="left" w:pos="1114"/>
              </w:tabs>
              <w:spacing w:after="0" w:line="240" w:lineRule="auto"/>
            </w:pPr>
            <w:r>
              <w:t xml:space="preserve">Ing. Karol </w:t>
            </w:r>
            <w:proofErr w:type="spellStart"/>
            <w:r>
              <w:t>Ďungel</w:t>
            </w:r>
            <w:proofErr w:type="spellEnd"/>
          </w:p>
        </w:tc>
      </w:tr>
      <w:tr w:rsidR="00DA5EA3" w:rsidTr="00DA5EA3">
        <w:tc>
          <w:tcPr>
            <w:tcW w:w="4077" w:type="dxa"/>
          </w:tcPr>
          <w:p w:rsidR="00DA5EA3" w:rsidRDefault="00DA5EA3" w:rsidP="00DA5EA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rsidR="00DA5EA3" w:rsidRDefault="00DA5EA3" w:rsidP="00DA5EA3">
            <w:pPr>
              <w:tabs>
                <w:tab w:val="left" w:pos="1114"/>
              </w:tabs>
              <w:spacing w:after="0" w:line="240" w:lineRule="auto"/>
            </w:pPr>
          </w:p>
        </w:tc>
      </w:tr>
      <w:tr w:rsidR="00DA5EA3" w:rsidTr="00DA5EA3">
        <w:tc>
          <w:tcPr>
            <w:tcW w:w="4077" w:type="dxa"/>
          </w:tcPr>
          <w:p w:rsidR="00DA5EA3" w:rsidRDefault="00DA5EA3" w:rsidP="00DA5EA3">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rsidR="00DA5EA3" w:rsidRDefault="00DA5EA3" w:rsidP="00DA5EA3">
            <w:pPr>
              <w:tabs>
                <w:tab w:val="left" w:pos="1114"/>
              </w:tabs>
              <w:spacing w:after="0" w:line="240" w:lineRule="auto"/>
            </w:pPr>
          </w:p>
        </w:tc>
      </w:tr>
    </w:tbl>
    <w:p w:rsidR="0005164D" w:rsidRDefault="00A75045">
      <w:pPr>
        <w:tabs>
          <w:tab w:val="left" w:pos="1114"/>
        </w:tabs>
      </w:pPr>
      <w:r>
        <w:br w:type="column"/>
      </w:r>
    </w:p>
    <w:p w:rsidR="0005164D" w:rsidRDefault="004C595A">
      <w:pPr>
        <w:tabs>
          <w:tab w:val="left" w:pos="1114"/>
        </w:tabs>
      </w:pPr>
      <w:r>
        <w:tab/>
      </w:r>
    </w:p>
    <w:p w:rsidR="0005164D" w:rsidRDefault="0005164D">
      <w:pPr>
        <w:tabs>
          <w:tab w:val="left" w:pos="1114"/>
        </w:tabs>
      </w:pPr>
    </w:p>
    <w:p w:rsidR="0005164D" w:rsidRDefault="004C595A">
      <w:pPr>
        <w:tabs>
          <w:tab w:val="left" w:pos="1114"/>
        </w:tabs>
        <w:rPr>
          <w:rFonts w:ascii="Times New Roman" w:eastAsia="Times New Roman" w:hAnsi="Times New Roman" w:cs="Times New Roman"/>
          <w:b/>
        </w:rPr>
      </w:pPr>
      <w:r>
        <w:rPr>
          <w:rFonts w:ascii="Times New Roman" w:eastAsia="Times New Roman" w:hAnsi="Times New Roman" w:cs="Times New Roman"/>
          <w:b/>
        </w:rPr>
        <w:t>Príloha:</w:t>
      </w:r>
    </w:p>
    <w:p w:rsidR="0005164D" w:rsidRDefault="004C595A">
      <w:pPr>
        <w:tabs>
          <w:tab w:val="left" w:pos="1114"/>
        </w:tabs>
      </w:pPr>
      <w:r>
        <w:rPr>
          <w:rFonts w:ascii="Times New Roman" w:eastAsia="Times New Roman" w:hAnsi="Times New Roman" w:cs="Times New Roman"/>
        </w:rPr>
        <w:t>Prezenčná listina zo stretnutia pedagogického klubu</w:t>
      </w:r>
    </w:p>
    <w:p w:rsidR="0005164D" w:rsidRDefault="0005164D">
      <w:pPr>
        <w:tabs>
          <w:tab w:val="left" w:pos="1114"/>
        </w:tabs>
      </w:pPr>
    </w:p>
    <w:p w:rsidR="0005164D" w:rsidRDefault="004C595A">
      <w:pPr>
        <w:tabs>
          <w:tab w:val="left" w:pos="111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Pokyny k vyplneniu Správy o činnosti pedagogického klubu:</w:t>
      </w:r>
    </w:p>
    <w:p w:rsidR="0005164D" w:rsidRDefault="004C595A">
      <w:pPr>
        <w:tabs>
          <w:tab w:val="left" w:pos="11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Prijímateľ vypracuje správu ku každému stretnutiu pedagogického klubu samostatne. Prílohou správy je prezenčná listina účastníkov stretnutia pedagogického klubu. </w:t>
      </w:r>
    </w:p>
    <w:p w:rsidR="0005164D" w:rsidRDefault="0005164D">
      <w:pPr>
        <w:tabs>
          <w:tab w:val="left" w:pos="1114"/>
        </w:tabs>
        <w:rPr>
          <w:rFonts w:ascii="Times New Roman" w:eastAsia="Times New Roman" w:hAnsi="Times New Roman" w:cs="Times New Roman"/>
        </w:rPr>
      </w:pP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na prezenčnej listine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je totožný s miestom konania na prezenčnej listine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Odkaz na webové sídlo zverejnenej správy – uvedie sa odkaz / </w:t>
      </w:r>
      <w:proofErr w:type="spellStart"/>
      <w:r>
        <w:rPr>
          <w:rFonts w:ascii="Times New Roman" w:eastAsia="Times New Roman" w:hAnsi="Times New Roman" w:cs="Times New Roman"/>
          <w:color w:val="000000"/>
        </w:rPr>
        <w:t>link</w:t>
      </w:r>
      <w:proofErr w:type="spellEnd"/>
      <w:r>
        <w:rPr>
          <w:rFonts w:ascii="Times New Roman" w:eastAsia="Times New Roman" w:hAnsi="Times New Roman" w:cs="Times New Roman"/>
          <w:color w:val="000000"/>
        </w:rPr>
        <w:t xml:space="preserve"> na webovú stránku, kde je správa zverejnená</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stručne a výstižne popíše priebeh stretnutia klubu</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Schválil - uvedie sa celé meno a priezvisko osoby, ktorá správu schválila (koordinátor klubu/vedúci klubu učiteľov) </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rsidR="0005164D" w:rsidRDefault="0005164D">
      <w:pPr>
        <w:pBdr>
          <w:top w:val="nil"/>
          <w:left w:val="nil"/>
          <w:bottom w:val="nil"/>
          <w:right w:val="nil"/>
          <w:between w:val="nil"/>
        </w:pBdr>
        <w:tabs>
          <w:tab w:val="left" w:pos="1114"/>
        </w:tabs>
        <w:ind w:left="720"/>
        <w:rPr>
          <w:rFonts w:ascii="Times New Roman" w:eastAsia="Times New Roman" w:hAnsi="Times New Roman" w:cs="Times New Roman"/>
          <w:color w:val="000000"/>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05164D">
      <w:pPr>
        <w:rPr>
          <w:rFonts w:ascii="Times New Roman" w:eastAsia="Times New Roman" w:hAnsi="Times New Roman" w:cs="Times New Roman"/>
        </w:rPr>
      </w:pPr>
    </w:p>
    <w:p w:rsidR="0005164D" w:rsidRDefault="004C595A">
      <w:r>
        <w:br w:type="column"/>
      </w:r>
      <w:r>
        <w:rPr>
          <w:rFonts w:ascii="Times New Roman" w:eastAsia="Times New Roman" w:hAnsi="Times New Roman" w:cs="Times New Roman"/>
        </w:rPr>
        <w:lastRenderedPageBreak/>
        <w:t xml:space="preserve">Príloha správy o činnosti pedagogického klubu              </w:t>
      </w:r>
      <w:r>
        <w:t xml:space="preserve">                                                                               </w:t>
      </w:r>
      <w:r>
        <w:rPr>
          <w:noProof/>
        </w:rPr>
        <w:drawing>
          <wp:inline distT="0" distB="0" distL="0" distR="0">
            <wp:extent cx="5753098" cy="80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800100"/>
                    </a:xfrm>
                    <a:prstGeom prst="rect">
                      <a:avLst/>
                    </a:prstGeom>
                    <a:ln/>
                  </pic:spPr>
                </pic:pic>
              </a:graphicData>
            </a:graphic>
          </wp:inline>
        </w:drawing>
      </w:r>
    </w:p>
    <w:p w:rsidR="0005164D" w:rsidRDefault="0005164D"/>
    <w:tbl>
      <w:tblPr>
        <w:tblStyle w:val="a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05164D">
        <w:tc>
          <w:tcPr>
            <w:tcW w:w="3528" w:type="dxa"/>
          </w:tcPr>
          <w:p w:rsidR="0005164D" w:rsidRDefault="004C595A">
            <w:pPr>
              <w:rPr>
                <w:sz w:val="20"/>
                <w:szCs w:val="20"/>
              </w:rPr>
            </w:pPr>
            <w:r>
              <w:rPr>
                <w:sz w:val="20"/>
                <w:szCs w:val="20"/>
              </w:rPr>
              <w:t>Prioritná os:</w:t>
            </w:r>
          </w:p>
        </w:tc>
        <w:tc>
          <w:tcPr>
            <w:tcW w:w="5940" w:type="dxa"/>
          </w:tcPr>
          <w:p w:rsidR="0005164D" w:rsidRDefault="004C595A">
            <w:pPr>
              <w:rPr>
                <w:sz w:val="20"/>
                <w:szCs w:val="20"/>
              </w:rPr>
            </w:pPr>
            <w:r>
              <w:rPr>
                <w:sz w:val="20"/>
                <w:szCs w:val="20"/>
              </w:rPr>
              <w:t>Vzdelávanie</w:t>
            </w:r>
          </w:p>
        </w:tc>
      </w:tr>
      <w:tr w:rsidR="0005164D">
        <w:tc>
          <w:tcPr>
            <w:tcW w:w="3528" w:type="dxa"/>
          </w:tcPr>
          <w:p w:rsidR="0005164D" w:rsidRDefault="004C595A">
            <w:pPr>
              <w:rPr>
                <w:sz w:val="20"/>
                <w:szCs w:val="20"/>
              </w:rPr>
            </w:pPr>
            <w:r>
              <w:rPr>
                <w:sz w:val="20"/>
                <w:szCs w:val="20"/>
              </w:rPr>
              <w:t>Špecifický cieľ:</w:t>
            </w:r>
          </w:p>
        </w:tc>
        <w:tc>
          <w:tcPr>
            <w:tcW w:w="5940" w:type="dxa"/>
          </w:tcPr>
          <w:p w:rsidR="0005164D" w:rsidRDefault="004C595A">
            <w:pPr>
              <w:rPr>
                <w:sz w:val="20"/>
                <w:szCs w:val="20"/>
              </w:rPr>
            </w:pPr>
            <w:r>
              <w:rPr>
                <w:sz w:val="20"/>
                <w:szCs w:val="20"/>
              </w:rPr>
              <w:t xml:space="preserve">1.1.1 Zvýšiť </w:t>
            </w:r>
            <w:proofErr w:type="spellStart"/>
            <w:r>
              <w:rPr>
                <w:sz w:val="20"/>
                <w:szCs w:val="20"/>
              </w:rPr>
              <w:t>inkluzívnosť</w:t>
            </w:r>
            <w:proofErr w:type="spellEnd"/>
            <w:r>
              <w:rPr>
                <w:sz w:val="20"/>
                <w:szCs w:val="20"/>
              </w:rPr>
              <w:t xml:space="preserve"> a rovnaký prístup ku kvalitnému vzdelávaniu a zlepšiť výsledky a kompetencie detí a žiakov</w:t>
            </w:r>
          </w:p>
        </w:tc>
      </w:tr>
      <w:tr w:rsidR="0005164D">
        <w:tc>
          <w:tcPr>
            <w:tcW w:w="3528" w:type="dxa"/>
          </w:tcPr>
          <w:p w:rsidR="0005164D" w:rsidRDefault="004C595A">
            <w:pPr>
              <w:rPr>
                <w:sz w:val="20"/>
                <w:szCs w:val="20"/>
              </w:rPr>
            </w:pPr>
            <w:r>
              <w:rPr>
                <w:sz w:val="20"/>
                <w:szCs w:val="20"/>
              </w:rPr>
              <w:t>Prijímateľ:</w:t>
            </w:r>
          </w:p>
        </w:tc>
        <w:tc>
          <w:tcPr>
            <w:tcW w:w="5940" w:type="dxa"/>
          </w:tcPr>
          <w:p w:rsidR="0005164D" w:rsidRDefault="0005164D">
            <w:pPr>
              <w:rPr>
                <w:sz w:val="20"/>
                <w:szCs w:val="20"/>
              </w:rPr>
            </w:pPr>
          </w:p>
        </w:tc>
      </w:tr>
      <w:tr w:rsidR="0005164D">
        <w:tc>
          <w:tcPr>
            <w:tcW w:w="3528" w:type="dxa"/>
          </w:tcPr>
          <w:p w:rsidR="0005164D" w:rsidRDefault="004C595A">
            <w:pPr>
              <w:rPr>
                <w:sz w:val="20"/>
                <w:szCs w:val="20"/>
              </w:rPr>
            </w:pPr>
            <w:r>
              <w:rPr>
                <w:sz w:val="20"/>
                <w:szCs w:val="20"/>
              </w:rPr>
              <w:t>Názov projektu:</w:t>
            </w:r>
          </w:p>
        </w:tc>
        <w:tc>
          <w:tcPr>
            <w:tcW w:w="5940" w:type="dxa"/>
          </w:tcPr>
          <w:p w:rsidR="0005164D" w:rsidRDefault="0005164D">
            <w:pPr>
              <w:rPr>
                <w:sz w:val="20"/>
                <w:szCs w:val="20"/>
              </w:rPr>
            </w:pPr>
          </w:p>
        </w:tc>
      </w:tr>
      <w:tr w:rsidR="0005164D">
        <w:tc>
          <w:tcPr>
            <w:tcW w:w="3528" w:type="dxa"/>
          </w:tcPr>
          <w:p w:rsidR="0005164D" w:rsidRDefault="004C595A">
            <w:pPr>
              <w:rPr>
                <w:sz w:val="20"/>
                <w:szCs w:val="20"/>
              </w:rPr>
            </w:pPr>
            <w:r>
              <w:rPr>
                <w:sz w:val="20"/>
                <w:szCs w:val="20"/>
              </w:rPr>
              <w:t>Kód ITMS projektu:</w:t>
            </w:r>
          </w:p>
        </w:tc>
        <w:tc>
          <w:tcPr>
            <w:tcW w:w="5940" w:type="dxa"/>
          </w:tcPr>
          <w:p w:rsidR="0005164D" w:rsidRDefault="0005164D">
            <w:pPr>
              <w:rPr>
                <w:sz w:val="20"/>
                <w:szCs w:val="20"/>
              </w:rPr>
            </w:pPr>
          </w:p>
        </w:tc>
      </w:tr>
      <w:tr w:rsidR="0005164D">
        <w:tc>
          <w:tcPr>
            <w:tcW w:w="3528" w:type="dxa"/>
          </w:tcPr>
          <w:p w:rsidR="0005164D" w:rsidRDefault="004C595A">
            <w:pPr>
              <w:rPr>
                <w:sz w:val="20"/>
                <w:szCs w:val="20"/>
              </w:rPr>
            </w:pPr>
            <w:r>
              <w:rPr>
                <w:sz w:val="20"/>
                <w:szCs w:val="20"/>
              </w:rPr>
              <w:t>Názov pedagogického klubu:</w:t>
            </w:r>
          </w:p>
        </w:tc>
        <w:tc>
          <w:tcPr>
            <w:tcW w:w="5940" w:type="dxa"/>
          </w:tcPr>
          <w:p w:rsidR="0005164D" w:rsidRDefault="0005164D">
            <w:pPr>
              <w:rPr>
                <w:sz w:val="20"/>
                <w:szCs w:val="20"/>
              </w:rPr>
            </w:pPr>
          </w:p>
        </w:tc>
      </w:tr>
    </w:tbl>
    <w:p w:rsidR="0005164D" w:rsidRDefault="0005164D"/>
    <w:sectPr w:rsidR="0005164D" w:rsidSect="00AC2F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52"/>
    <w:multiLevelType w:val="hybridMultilevel"/>
    <w:tmpl w:val="D5D03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A14D4"/>
    <w:multiLevelType w:val="hybridMultilevel"/>
    <w:tmpl w:val="8E22298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311C4324"/>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E5216"/>
    <w:multiLevelType w:val="multilevel"/>
    <w:tmpl w:val="DB4E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BB135B"/>
    <w:multiLevelType w:val="multilevel"/>
    <w:tmpl w:val="8AF68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4D"/>
    <w:rsid w:val="0005164D"/>
    <w:rsid w:val="00065F12"/>
    <w:rsid w:val="000669B5"/>
    <w:rsid w:val="00096C8F"/>
    <w:rsid w:val="000A7EE8"/>
    <w:rsid w:val="000D20BA"/>
    <w:rsid w:val="000D6F74"/>
    <w:rsid w:val="00123F0E"/>
    <w:rsid w:val="001316F3"/>
    <w:rsid w:val="001809E8"/>
    <w:rsid w:val="001A1BB4"/>
    <w:rsid w:val="00201F6D"/>
    <w:rsid w:val="0027739D"/>
    <w:rsid w:val="002828E2"/>
    <w:rsid w:val="00284807"/>
    <w:rsid w:val="002E3DFE"/>
    <w:rsid w:val="002E5A7C"/>
    <w:rsid w:val="00300516"/>
    <w:rsid w:val="00303650"/>
    <w:rsid w:val="00351795"/>
    <w:rsid w:val="00355159"/>
    <w:rsid w:val="003F049D"/>
    <w:rsid w:val="003F12B6"/>
    <w:rsid w:val="00467E25"/>
    <w:rsid w:val="004B5211"/>
    <w:rsid w:val="004C5958"/>
    <w:rsid w:val="004C595A"/>
    <w:rsid w:val="004E366A"/>
    <w:rsid w:val="00576CF7"/>
    <w:rsid w:val="005C673F"/>
    <w:rsid w:val="005D4226"/>
    <w:rsid w:val="005E2268"/>
    <w:rsid w:val="00627762"/>
    <w:rsid w:val="00627F2A"/>
    <w:rsid w:val="006479CF"/>
    <w:rsid w:val="00656D52"/>
    <w:rsid w:val="006A5009"/>
    <w:rsid w:val="006C416D"/>
    <w:rsid w:val="007115CC"/>
    <w:rsid w:val="00757B7C"/>
    <w:rsid w:val="00786DD7"/>
    <w:rsid w:val="00827087"/>
    <w:rsid w:val="008E3DBE"/>
    <w:rsid w:val="008F4651"/>
    <w:rsid w:val="00913283"/>
    <w:rsid w:val="009310F0"/>
    <w:rsid w:val="009567C5"/>
    <w:rsid w:val="009768AA"/>
    <w:rsid w:val="009B1399"/>
    <w:rsid w:val="009D15BD"/>
    <w:rsid w:val="009D554C"/>
    <w:rsid w:val="009E5C1F"/>
    <w:rsid w:val="009F0653"/>
    <w:rsid w:val="009F4BE1"/>
    <w:rsid w:val="009F7D82"/>
    <w:rsid w:val="00A52C09"/>
    <w:rsid w:val="00A75045"/>
    <w:rsid w:val="00AA51E9"/>
    <w:rsid w:val="00AC2FAC"/>
    <w:rsid w:val="00AE2FC2"/>
    <w:rsid w:val="00AF24E1"/>
    <w:rsid w:val="00B51736"/>
    <w:rsid w:val="00C041E9"/>
    <w:rsid w:val="00C20109"/>
    <w:rsid w:val="00C35990"/>
    <w:rsid w:val="00CA24D6"/>
    <w:rsid w:val="00D57048"/>
    <w:rsid w:val="00DA5EA3"/>
    <w:rsid w:val="00DE7AE9"/>
    <w:rsid w:val="00DF16C5"/>
    <w:rsid w:val="00E06145"/>
    <w:rsid w:val="00E432A3"/>
    <w:rsid w:val="00E57DCE"/>
    <w:rsid w:val="00E85326"/>
    <w:rsid w:val="00EA293A"/>
    <w:rsid w:val="00F36F71"/>
    <w:rsid w:val="00F92DE5"/>
    <w:rsid w:val="00FC5F4E"/>
    <w:rsid w:val="00FD7E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D4EA7-5064-4593-BF49-35F4F435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C2FAC"/>
  </w:style>
  <w:style w:type="paragraph" w:styleId="Nadpis1">
    <w:name w:val="heading 1"/>
    <w:basedOn w:val="Normlny"/>
    <w:next w:val="Normlny"/>
    <w:rsid w:val="00AC2FAC"/>
    <w:pPr>
      <w:pBdr>
        <w:top w:val="nil"/>
        <w:left w:val="nil"/>
        <w:bottom w:val="nil"/>
        <w:right w:val="nil"/>
        <w:between w:val="nil"/>
      </w:pBdr>
      <w:spacing w:before="480" w:after="0" w:line="240" w:lineRule="auto"/>
      <w:outlineLvl w:val="0"/>
    </w:pPr>
    <w:rPr>
      <w:b/>
      <w:color w:val="345A8A"/>
      <w:sz w:val="32"/>
      <w:szCs w:val="32"/>
    </w:rPr>
  </w:style>
  <w:style w:type="paragraph" w:styleId="Nadpis2">
    <w:name w:val="heading 2"/>
    <w:basedOn w:val="Normlny"/>
    <w:next w:val="Normlny"/>
    <w:rsid w:val="00AC2FAC"/>
    <w:pPr>
      <w:pBdr>
        <w:top w:val="nil"/>
        <w:left w:val="nil"/>
        <w:bottom w:val="nil"/>
        <w:right w:val="nil"/>
        <w:between w:val="nil"/>
      </w:pBdr>
      <w:spacing w:before="200" w:after="0" w:line="240" w:lineRule="auto"/>
      <w:outlineLvl w:val="1"/>
    </w:pPr>
    <w:rPr>
      <w:b/>
      <w:color w:val="4F81BD"/>
      <w:sz w:val="26"/>
      <w:szCs w:val="26"/>
    </w:rPr>
  </w:style>
  <w:style w:type="paragraph" w:styleId="Nadpis3">
    <w:name w:val="heading 3"/>
    <w:basedOn w:val="Normlny"/>
    <w:next w:val="Normlny"/>
    <w:rsid w:val="00AC2FAC"/>
    <w:pPr>
      <w:pBdr>
        <w:top w:val="nil"/>
        <w:left w:val="nil"/>
        <w:bottom w:val="nil"/>
        <w:right w:val="nil"/>
        <w:between w:val="nil"/>
      </w:pBdr>
      <w:spacing w:before="200" w:after="0" w:line="240" w:lineRule="auto"/>
      <w:outlineLvl w:val="2"/>
    </w:pPr>
    <w:rPr>
      <w:b/>
      <w:color w:val="4F81BD"/>
      <w:sz w:val="24"/>
      <w:szCs w:val="24"/>
    </w:rPr>
  </w:style>
  <w:style w:type="paragraph" w:styleId="Nadpis4">
    <w:name w:val="heading 4"/>
    <w:basedOn w:val="Normlny"/>
    <w:next w:val="Normlny"/>
    <w:rsid w:val="00AC2FAC"/>
    <w:pPr>
      <w:keepNext/>
      <w:keepLines/>
      <w:spacing w:before="240" w:after="40"/>
      <w:outlineLvl w:val="3"/>
    </w:pPr>
    <w:rPr>
      <w:b/>
      <w:sz w:val="24"/>
      <w:szCs w:val="24"/>
    </w:rPr>
  </w:style>
  <w:style w:type="paragraph" w:styleId="Nadpis5">
    <w:name w:val="heading 5"/>
    <w:basedOn w:val="Normlny"/>
    <w:next w:val="Normlny"/>
    <w:rsid w:val="00AC2FAC"/>
    <w:pPr>
      <w:keepNext/>
      <w:keepLines/>
      <w:spacing w:before="220" w:after="40"/>
      <w:outlineLvl w:val="4"/>
    </w:pPr>
    <w:rPr>
      <w:b/>
    </w:rPr>
  </w:style>
  <w:style w:type="paragraph" w:styleId="Nadpis6">
    <w:name w:val="heading 6"/>
    <w:basedOn w:val="Normlny"/>
    <w:next w:val="Normlny"/>
    <w:rsid w:val="00AC2FAC"/>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AC2FAC"/>
    <w:tblPr>
      <w:tblCellMar>
        <w:top w:w="0" w:type="dxa"/>
        <w:left w:w="0" w:type="dxa"/>
        <w:bottom w:w="0" w:type="dxa"/>
        <w:right w:w="0" w:type="dxa"/>
      </w:tblCellMar>
    </w:tblPr>
  </w:style>
  <w:style w:type="paragraph" w:styleId="Nzov">
    <w:name w:val="Title"/>
    <w:basedOn w:val="Normlny"/>
    <w:next w:val="Normlny"/>
    <w:rsid w:val="00AC2FAC"/>
    <w:pPr>
      <w:pBdr>
        <w:top w:val="nil"/>
        <w:left w:val="nil"/>
        <w:bottom w:val="nil"/>
        <w:right w:val="nil"/>
        <w:between w:val="nil"/>
      </w:pBdr>
      <w:spacing w:after="300" w:line="240" w:lineRule="auto"/>
    </w:pPr>
    <w:rPr>
      <w:color w:val="17365D"/>
      <w:sz w:val="52"/>
      <w:szCs w:val="52"/>
    </w:rPr>
  </w:style>
  <w:style w:type="paragraph" w:styleId="Podtitul">
    <w:name w:val="Subtitle"/>
    <w:basedOn w:val="Normlny"/>
    <w:next w:val="Normlny"/>
    <w:rsid w:val="00AC2FAC"/>
    <w:pPr>
      <w:pBdr>
        <w:top w:val="nil"/>
        <w:left w:val="nil"/>
        <w:bottom w:val="nil"/>
        <w:right w:val="nil"/>
        <w:between w:val="nil"/>
      </w:pBdr>
      <w:spacing w:after="0" w:line="240" w:lineRule="auto"/>
    </w:pPr>
    <w:rPr>
      <w:i/>
      <w:color w:val="4F81BD"/>
      <w:sz w:val="24"/>
      <w:szCs w:val="24"/>
    </w:rPr>
  </w:style>
  <w:style w:type="table" w:customStyle="1" w:styleId="a">
    <w:basedOn w:val="TableNormal"/>
    <w:rsid w:val="00AC2FAC"/>
    <w:tblPr>
      <w:tblStyleRowBandSize w:val="1"/>
      <w:tblStyleColBandSize w:val="1"/>
      <w:tblCellMar>
        <w:left w:w="115" w:type="dxa"/>
        <w:right w:w="115" w:type="dxa"/>
      </w:tblCellMar>
    </w:tblPr>
  </w:style>
  <w:style w:type="table" w:customStyle="1" w:styleId="a0">
    <w:basedOn w:val="TableNormal"/>
    <w:rsid w:val="00AC2FAC"/>
    <w:tblPr>
      <w:tblStyleRowBandSize w:val="1"/>
      <w:tblStyleColBandSize w:val="1"/>
      <w:tblCellMar>
        <w:left w:w="115" w:type="dxa"/>
        <w:right w:w="115" w:type="dxa"/>
      </w:tblCellMar>
    </w:tblPr>
  </w:style>
  <w:style w:type="table" w:customStyle="1" w:styleId="a1">
    <w:basedOn w:val="TableNormal"/>
    <w:rsid w:val="00AC2FAC"/>
    <w:tblPr>
      <w:tblStyleRowBandSize w:val="1"/>
      <w:tblStyleColBandSize w:val="1"/>
      <w:tblCellMar>
        <w:left w:w="115" w:type="dxa"/>
        <w:right w:w="115" w:type="dxa"/>
      </w:tblCellMar>
    </w:tblPr>
  </w:style>
  <w:style w:type="table" w:customStyle="1" w:styleId="a2">
    <w:basedOn w:val="TableNormal"/>
    <w:rsid w:val="00AC2FAC"/>
    <w:tblPr>
      <w:tblStyleRowBandSize w:val="1"/>
      <w:tblStyleColBandSize w:val="1"/>
      <w:tblCellMar>
        <w:left w:w="115" w:type="dxa"/>
        <w:right w:w="115" w:type="dxa"/>
      </w:tblCellMar>
    </w:tblPr>
  </w:style>
  <w:style w:type="paragraph" w:styleId="Odsekzoznamu">
    <w:name w:val="List Paragraph"/>
    <w:basedOn w:val="Normlny"/>
    <w:uiPriority w:val="34"/>
    <w:qFormat/>
    <w:rsid w:val="00123F0E"/>
    <w:pPr>
      <w:ind w:left="720"/>
      <w:contextualSpacing/>
    </w:pPr>
  </w:style>
  <w:style w:type="paragraph" w:styleId="Textbubliny">
    <w:name w:val="Balloon Text"/>
    <w:basedOn w:val="Normlny"/>
    <w:link w:val="TextbublinyChar"/>
    <w:uiPriority w:val="99"/>
    <w:semiHidden/>
    <w:unhideWhenUsed/>
    <w:rsid w:val="00066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5629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Miroslava Síthová</dc:creator>
  <cp:lastModifiedBy>Mgr. Miroslava Síthová</cp:lastModifiedBy>
  <cp:revision>2</cp:revision>
  <dcterms:created xsi:type="dcterms:W3CDTF">2021-12-10T12:49:00Z</dcterms:created>
  <dcterms:modified xsi:type="dcterms:W3CDTF">2021-12-10T12:49:00Z</dcterms:modified>
</cp:coreProperties>
</file>