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</w:t>
      </w:r>
      <w:r w:rsidR="00EE385B">
        <w:rPr>
          <w:rFonts w:ascii="Arial" w:hAnsi="Arial" w:cs="Arial"/>
          <w:b/>
          <w:sz w:val="22"/>
          <w:szCs w:val="22"/>
        </w:rPr>
        <w:t>0</w:t>
      </w:r>
      <w:r w:rsidR="00EB0422">
        <w:rPr>
          <w:rFonts w:ascii="Arial" w:hAnsi="Arial" w:cs="Arial"/>
          <w:b/>
          <w:sz w:val="22"/>
          <w:szCs w:val="22"/>
        </w:rPr>
        <w:t>3</w:t>
      </w:r>
      <w:r w:rsidRPr="00BD0327">
        <w:rPr>
          <w:rFonts w:ascii="Arial" w:hAnsi="Arial" w:cs="Arial"/>
          <w:b/>
          <w:sz w:val="22"/>
          <w:szCs w:val="22"/>
        </w:rPr>
        <w:t>.../20</w:t>
      </w:r>
      <w:r w:rsidR="003E4B43">
        <w:rPr>
          <w:rFonts w:ascii="Arial" w:hAnsi="Arial" w:cs="Arial"/>
          <w:b/>
          <w:sz w:val="22"/>
          <w:szCs w:val="22"/>
        </w:rPr>
        <w:t>2</w:t>
      </w:r>
      <w:r w:rsidR="004703B7">
        <w:rPr>
          <w:rFonts w:ascii="Arial" w:hAnsi="Arial" w:cs="Arial"/>
          <w:b/>
          <w:sz w:val="22"/>
          <w:szCs w:val="22"/>
        </w:rPr>
        <w:t>2</w:t>
      </w:r>
      <w:r w:rsidR="000D4722">
        <w:rPr>
          <w:rFonts w:ascii="Arial" w:hAnsi="Arial" w:cs="Arial"/>
          <w:b/>
          <w:sz w:val="22"/>
          <w:szCs w:val="22"/>
        </w:rPr>
        <w:t>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4D7A1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EF433D" w:rsidRDefault="00031AE7" w:rsidP="00EF433D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EF433D" w:rsidRDefault="00D30F02" w:rsidP="00EF433D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IBAN:</w:t>
      </w:r>
      <w:r w:rsidR="00EF433D">
        <w:rPr>
          <w:rFonts w:ascii="Arial" w:hAnsi="Arial" w:cs="Arial"/>
          <w:sz w:val="22"/>
          <w:szCs w:val="22"/>
        </w:rPr>
        <w:tab/>
      </w:r>
      <w:r w:rsidR="00EF433D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D30F02" w:rsidRPr="00BD0327" w:rsidRDefault="00EF433D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>
        <w:rPr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 w:rsidR="00EF433D">
        <w:rPr>
          <w:rFonts w:ascii="Arial" w:hAnsi="Arial" w:cs="Arial"/>
          <w:b/>
          <w:sz w:val="22"/>
          <w:szCs w:val="22"/>
        </w:rPr>
        <w:tab/>
      </w:r>
      <w:r w:rsidR="00065625">
        <w:rPr>
          <w:rFonts w:ascii="Arial" w:hAnsi="Arial" w:cs="Arial"/>
          <w:b/>
          <w:sz w:val="22"/>
          <w:szCs w:val="22"/>
        </w:rPr>
        <w:t xml:space="preserve">Mgr. Ján Janočko </w:t>
      </w:r>
      <w:r w:rsidR="008E5A87">
        <w:rPr>
          <w:rFonts w:ascii="Arial" w:hAnsi="Arial" w:cs="Arial"/>
          <w:b/>
          <w:sz w:val="22"/>
          <w:szCs w:val="22"/>
        </w:rPr>
        <w:t xml:space="preserve"> 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065625">
        <w:rPr>
          <w:rFonts w:ascii="Arial" w:hAnsi="Arial" w:cs="Arial"/>
          <w:sz w:val="22"/>
          <w:szCs w:val="22"/>
        </w:rPr>
        <w:t>Pavla Horova 15</w:t>
      </w:r>
      <w:r w:rsidR="00BE1C21">
        <w:rPr>
          <w:rFonts w:ascii="Arial" w:hAnsi="Arial" w:cs="Arial"/>
          <w:sz w:val="22"/>
          <w:szCs w:val="22"/>
        </w:rPr>
        <w:t>, 841 0</w:t>
      </w:r>
      <w:r w:rsidR="00065625">
        <w:rPr>
          <w:rFonts w:ascii="Arial" w:hAnsi="Arial" w:cs="Arial"/>
          <w:sz w:val="22"/>
          <w:szCs w:val="22"/>
        </w:rPr>
        <w:t>8</w:t>
      </w:r>
      <w:r w:rsidR="00BE1C21">
        <w:rPr>
          <w:rFonts w:ascii="Arial" w:hAnsi="Arial" w:cs="Arial"/>
          <w:sz w:val="22"/>
          <w:szCs w:val="22"/>
        </w:rPr>
        <w:t xml:space="preserve"> Bratislava</w:t>
      </w:r>
    </w:p>
    <w:p w:rsidR="00BD0327" w:rsidRPr="009A76B8" w:rsidRDefault="009A75AE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9A76B8">
        <w:rPr>
          <w:rFonts w:ascii="Arial" w:hAnsi="Arial" w:cs="Arial"/>
          <w:sz w:val="22"/>
          <w:szCs w:val="22"/>
        </w:rPr>
        <w:t xml:space="preserve">Číslo OP: </w:t>
      </w:r>
      <w:r w:rsidR="00BD0327" w:rsidRPr="009A76B8">
        <w:rPr>
          <w:rFonts w:ascii="Arial" w:hAnsi="Arial" w:cs="Arial"/>
          <w:sz w:val="22"/>
          <w:szCs w:val="22"/>
        </w:rPr>
        <w:tab/>
      </w:r>
      <w:r w:rsidR="004439C3">
        <w:rPr>
          <w:rFonts w:ascii="Arial" w:hAnsi="Arial" w:cs="Arial"/>
          <w:sz w:val="22"/>
          <w:szCs w:val="22"/>
        </w:rPr>
        <w:t>HN 521550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A75AE" w:rsidRDefault="009A75AE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0D4722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2857F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="000D4722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>športovú činnosť</w:t>
      </w:r>
      <w:r w:rsidR="00EB0422">
        <w:rPr>
          <w:rFonts w:ascii="Arial" w:hAnsi="Arial" w:cs="Arial"/>
          <w:sz w:val="22"/>
          <w:szCs w:val="22"/>
        </w:rPr>
        <w:t>- florbal</w:t>
      </w:r>
      <w:r w:rsidR="00DD5EB5" w:rsidRPr="00347B26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4439C3" w:rsidRPr="004703B7" w:rsidRDefault="00347B26" w:rsidP="004703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4703B7">
        <w:rPr>
          <w:rFonts w:ascii="Arial" w:hAnsi="Arial" w:cs="Arial"/>
          <w:sz w:val="22"/>
          <w:szCs w:val="22"/>
        </w:rPr>
        <w:t>12.1.2022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4703B7">
        <w:rPr>
          <w:rFonts w:ascii="Arial" w:hAnsi="Arial" w:cs="Arial"/>
          <w:sz w:val="22"/>
          <w:szCs w:val="22"/>
        </w:rPr>
        <w:t>19.1.2022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 xml:space="preserve">na </w:t>
      </w:r>
      <w:r w:rsidR="00BA5B5D">
        <w:rPr>
          <w:rFonts w:ascii="Arial" w:hAnsi="Arial" w:cs="Arial"/>
          <w:sz w:val="22"/>
          <w:szCs w:val="22"/>
        </w:rPr>
        <w:t xml:space="preserve"> </w:t>
      </w:r>
      <w:r w:rsidR="002857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2857F8">
        <w:rPr>
          <w:rFonts w:ascii="Arial" w:hAnsi="Arial" w:cs="Arial"/>
          <w:sz w:val="22"/>
          <w:szCs w:val="22"/>
        </w:rPr>
        <w:t xml:space="preserve">, celkovo </w:t>
      </w:r>
      <w:r w:rsidR="004703B7">
        <w:rPr>
          <w:rFonts w:ascii="Arial" w:hAnsi="Arial" w:cs="Arial"/>
          <w:sz w:val="22"/>
          <w:szCs w:val="22"/>
        </w:rPr>
        <w:t>2</w:t>
      </w:r>
      <w:r w:rsidR="00BE1C21">
        <w:rPr>
          <w:rFonts w:ascii="Arial" w:hAnsi="Arial" w:cs="Arial"/>
          <w:sz w:val="22"/>
          <w:szCs w:val="22"/>
        </w:rPr>
        <w:t xml:space="preserve"> </w:t>
      </w:r>
      <w:r w:rsidR="004703B7">
        <w:rPr>
          <w:rFonts w:ascii="Arial" w:hAnsi="Arial" w:cs="Arial"/>
          <w:sz w:val="22"/>
          <w:szCs w:val="22"/>
        </w:rPr>
        <w:t>hodiny</w:t>
      </w:r>
      <w:r w:rsidR="00B70CCA">
        <w:rPr>
          <w:rFonts w:ascii="Arial" w:hAnsi="Arial" w:cs="Arial"/>
          <w:sz w:val="22"/>
          <w:szCs w:val="22"/>
        </w:rPr>
        <w:t>.</w:t>
      </w:r>
      <w:r w:rsidR="00490827" w:rsidRPr="00BE1C2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4439C3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 xml:space="preserve">Odstúpenie od zmluvy v prípadoch vymedzených v tomto článku zmluvy je platné a účinné jeho doručením druhej zmluvnej strane, pričom k tomuto okamžiku táto zmluva zaniká. Odstúpenie od tejto zmluvy sa však netýka nároku na náhradu škody vzniknutej </w:t>
      </w:r>
      <w:r w:rsidRPr="006826EB">
        <w:rPr>
          <w:rFonts w:ascii="Arial" w:hAnsi="Arial" w:cs="Arial"/>
          <w:b w:val="0"/>
          <w:sz w:val="22"/>
          <w:szCs w:val="22"/>
        </w:rPr>
        <w:lastRenderedPageBreak/>
        <w:t>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DE10A8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B227FD" w:rsidRPr="004B1745">
        <w:rPr>
          <w:rFonts w:ascii="Arial" w:hAnsi="Arial" w:cs="Arial"/>
          <w:b/>
          <w:sz w:val="22"/>
          <w:szCs w:val="22"/>
        </w:rPr>
        <w:t>8,</w:t>
      </w:r>
      <w:r>
        <w:rPr>
          <w:rFonts w:ascii="Arial" w:hAnsi="Arial" w:cs="Arial"/>
          <w:b/>
          <w:sz w:val="22"/>
          <w:szCs w:val="22"/>
        </w:rPr>
        <w:t xml:space="preserve">00 </w:t>
      </w:r>
      <w:r w:rsidR="00B227FD" w:rsidRPr="004B1745">
        <w:rPr>
          <w:rFonts w:ascii="Arial" w:hAnsi="Arial" w:cs="Arial"/>
          <w:b/>
          <w:sz w:val="22"/>
          <w:szCs w:val="22"/>
        </w:rPr>
        <w:t>€/hod.,</w:t>
      </w:r>
      <w:r w:rsidR="004703B7">
        <w:rPr>
          <w:rFonts w:ascii="Arial" w:hAnsi="Arial" w:cs="Arial"/>
          <w:b/>
          <w:sz w:val="22"/>
          <w:szCs w:val="22"/>
        </w:rPr>
        <w:t xml:space="preserve"> </w:t>
      </w:r>
      <w:r w:rsidR="00812CC8" w:rsidRPr="00812CC8">
        <w:rPr>
          <w:rFonts w:ascii="Arial" w:hAnsi="Arial" w:cs="Arial"/>
          <w:sz w:val="22"/>
          <w:szCs w:val="22"/>
        </w:rPr>
        <w:t>spolu</w:t>
      </w:r>
      <w:r w:rsidR="00812CC8">
        <w:rPr>
          <w:rFonts w:ascii="Arial" w:hAnsi="Arial" w:cs="Arial"/>
          <w:sz w:val="22"/>
          <w:szCs w:val="22"/>
        </w:rPr>
        <w:t xml:space="preserve"> </w:t>
      </w:r>
      <w:r w:rsidR="00863C00">
        <w:rPr>
          <w:rFonts w:ascii="Arial" w:hAnsi="Arial" w:cs="Arial"/>
          <w:sz w:val="22"/>
          <w:szCs w:val="22"/>
        </w:rPr>
        <w:t>16,00 € za celkovú dobu nájmu (-zápočet XI.-XII.2021</w:t>
      </w:r>
    </w:p>
    <w:p w:rsidR="004B1745" w:rsidRDefault="00863C00" w:rsidP="00863C00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- 32,00 €),</w:t>
      </w:r>
      <w:r w:rsidR="00DE10A8">
        <w:rPr>
          <w:rFonts w:ascii="Arial" w:hAnsi="Arial" w:cs="Arial"/>
          <w:b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>
        <w:rPr>
          <w:rFonts w:ascii="Arial" w:hAnsi="Arial" w:cs="Arial"/>
          <w:b/>
          <w:sz w:val="22"/>
          <w:szCs w:val="22"/>
        </w:rPr>
        <w:t>preplatok 16</w:t>
      </w:r>
      <w:r w:rsidR="00DE10A8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 xml:space="preserve">, ktorý Vám bude </w:t>
      </w:r>
    </w:p>
    <w:p w:rsidR="00863C00" w:rsidRPr="00863C00" w:rsidRDefault="00863C00" w:rsidP="00863C0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poukázaný na Váš účet.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</w:t>
      </w:r>
      <w:r w:rsidR="00DE10A8">
        <w:rPr>
          <w:rFonts w:ascii="Arial" w:hAnsi="Arial" w:cs="Arial"/>
          <w:color w:val="030303"/>
          <w:sz w:val="22"/>
          <w:szCs w:val="22"/>
        </w:rPr>
        <w:t xml:space="preserve">a,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 a sú určené </w:t>
      </w:r>
    </w:p>
    <w:p w:rsidR="004B1745" w:rsidRDefault="00DE10A8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0D4722">
        <w:rPr>
          <w:rFonts w:ascii="Arial" w:hAnsi="Arial" w:cs="Arial"/>
          <w:b/>
          <w:color w:val="030303"/>
          <w:sz w:val="22"/>
          <w:szCs w:val="22"/>
        </w:rPr>
        <w:t>1</w:t>
      </w:r>
      <w:r w:rsidR="00863C00">
        <w:rPr>
          <w:rFonts w:ascii="Arial" w:hAnsi="Arial" w:cs="Arial"/>
          <w:b/>
          <w:color w:val="030303"/>
          <w:sz w:val="22"/>
          <w:szCs w:val="22"/>
        </w:rPr>
        <w:t>4</w:t>
      </w:r>
      <w:r w:rsidRPr="00DE10A8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color w:val="030303"/>
          <w:sz w:val="22"/>
          <w:szCs w:val="22"/>
        </w:rPr>
        <w:t xml:space="preserve">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863C00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863C00">
        <w:rPr>
          <w:rFonts w:ascii="Arial" w:hAnsi="Arial" w:cs="Arial"/>
          <w:color w:val="030303"/>
          <w:sz w:val="22"/>
          <w:szCs w:val="22"/>
        </w:rPr>
        <w:t>spolu 28,00 € za celkovú dobu nájmu (-zápočet XI.-XII.2021</w:t>
      </w:r>
    </w:p>
    <w:p w:rsidR="004B1745" w:rsidRDefault="00863C00" w:rsidP="00863C00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- 44,00 €),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preplatok 16</w:t>
      </w:r>
      <w:r w:rsidR="000D4722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 xml:space="preserve">, ktorý Vám bude </w:t>
      </w:r>
    </w:p>
    <w:p w:rsidR="00863C00" w:rsidRPr="00863C00" w:rsidRDefault="00863C00" w:rsidP="00863C00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poukázaný na Váš účet.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FC5345" w:rsidRDefault="00FC5345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BE1C21" w:rsidRDefault="00BE1C21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FC5345" w:rsidRDefault="00FC5345" w:rsidP="00EF5E26"/>
    <w:p w:rsidR="00FC5345" w:rsidRDefault="00FC5345" w:rsidP="00EF5E26"/>
    <w:p w:rsidR="00FC5345" w:rsidRDefault="00FC5345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863C00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863C00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Default="007D5762" w:rsidP="007D5762">
      <w:pPr>
        <w:rPr>
          <w:rFonts w:ascii="Arial" w:hAnsi="Arial" w:cs="Arial"/>
          <w:sz w:val="22"/>
          <w:szCs w:val="22"/>
        </w:rPr>
      </w:pPr>
    </w:p>
    <w:p w:rsidR="00D3587D" w:rsidRPr="00D3587D" w:rsidRDefault="00D3587D" w:rsidP="007D5762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587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Zmluvné strany prehlasujú, že nájomca pred podpisom tejto zmluvy bol informovaný v zmysle § 10 ods.3 písm. b) zákona č. 122/2013 Z.z. o ochrane osobných údajov v znení neskorších predpisov o spracúvaní osobných údajov v zákonom stanovenom rozsahu na účel uzatvorenia a plnenia nájomnej zmluvy. Nájomca podpísaním tejto zmluvy súčasne dáva súhlas prenajímateľovi na spracovanie jeho osobných údajov (titul,, meno, priezvisko, , dátum narodenia, adresa) za účelom uzatvorenia nájomnej zmluvy. Tento súhlas platí po dobu platnosti všetkých nárokov vyplývajúcich v zmysle platných právnych predpisov z tejto zmluvy a počas doby, po ktorú je prenajímateľ povinný tento doklad  archivovať v súlade so zákonom .</w:t>
      </w:r>
    </w:p>
    <w:p w:rsidR="00D3587D" w:rsidRPr="00D3587D" w:rsidRDefault="00D3587D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FC5345" w:rsidP="00BD0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612B39">
        <w:rPr>
          <w:rFonts w:ascii="Arial" w:hAnsi="Arial" w:cs="Arial"/>
          <w:sz w:val="22"/>
          <w:szCs w:val="22"/>
        </w:rPr>
        <w:t xml:space="preserve"> </w:t>
      </w:r>
      <w:r w:rsidR="00863C00">
        <w:rPr>
          <w:rFonts w:ascii="Arial" w:hAnsi="Arial" w:cs="Arial"/>
          <w:sz w:val="22"/>
          <w:szCs w:val="22"/>
        </w:rPr>
        <w:t>12.1.2022</w:t>
      </w:r>
      <w:r w:rsidRPr="00BD0327">
        <w:rPr>
          <w:rFonts w:ascii="Arial" w:hAnsi="Arial" w:cs="Arial"/>
          <w:sz w:val="22"/>
          <w:szCs w:val="22"/>
        </w:rPr>
        <w:tab/>
      </w:r>
      <w:r w:rsidR="000D4722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612B39">
        <w:rPr>
          <w:rFonts w:ascii="Arial" w:hAnsi="Arial" w:cs="Arial"/>
          <w:sz w:val="22"/>
          <w:szCs w:val="22"/>
        </w:rPr>
        <w:t xml:space="preserve">   </w:t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863C00">
        <w:rPr>
          <w:rFonts w:ascii="Arial" w:hAnsi="Arial" w:cs="Arial"/>
          <w:sz w:val="22"/>
          <w:szCs w:val="22"/>
        </w:rPr>
        <w:t>12.1.2022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FC5345">
        <w:rPr>
          <w:rFonts w:ascii="Arial" w:hAnsi="Arial" w:cs="Arial"/>
          <w:sz w:val="22"/>
          <w:szCs w:val="22"/>
        </w:rPr>
        <w:t xml:space="preserve">   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</w:t>
      </w:r>
      <w:r w:rsidR="00AF7D1F">
        <w:rPr>
          <w:rFonts w:ascii="Arial" w:hAnsi="Arial" w:cs="Arial"/>
          <w:sz w:val="22"/>
          <w:szCs w:val="22"/>
        </w:rPr>
        <w:t xml:space="preserve">       </w:t>
      </w:r>
      <w:r w:rsidRPr="00BD0327">
        <w:rPr>
          <w:rFonts w:ascii="Arial" w:hAnsi="Arial" w:cs="Arial"/>
          <w:sz w:val="22"/>
          <w:szCs w:val="22"/>
        </w:rPr>
        <w:t xml:space="preserve"> ________________________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4439C3">
        <w:rPr>
          <w:rFonts w:ascii="Arial" w:hAnsi="Arial" w:cs="Arial"/>
          <w:b w:val="0"/>
          <w:sz w:val="22"/>
          <w:szCs w:val="22"/>
        </w:rPr>
        <w:tab/>
      </w:r>
      <w:r w:rsidR="004439C3">
        <w:rPr>
          <w:rFonts w:ascii="Arial" w:hAnsi="Arial" w:cs="Arial"/>
          <w:b w:val="0"/>
          <w:sz w:val="22"/>
          <w:szCs w:val="22"/>
        </w:rPr>
        <w:tab/>
        <w:t xml:space="preserve">       Mgr. Ján Janočko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B5" w:rsidRDefault="00A01EB5">
      <w:r>
        <w:separator/>
      </w:r>
    </w:p>
  </w:endnote>
  <w:endnote w:type="continuationSeparator" w:id="0">
    <w:p w:rsidR="00A01EB5" w:rsidRDefault="00A0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8D0181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863C00">
      <w:rPr>
        <w:noProof/>
      </w:rPr>
      <w:t>7</w:t>
    </w:r>
    <w:r>
      <w:rPr>
        <w:noProof/>
      </w:rPr>
      <w:fldChar w:fldCharType="end"/>
    </w:r>
  </w:p>
  <w:p w:rsidR="00B025D1" w:rsidRDefault="00A01E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B5" w:rsidRDefault="00A01EB5">
      <w:r>
        <w:separator/>
      </w:r>
    </w:p>
  </w:footnote>
  <w:footnote w:type="continuationSeparator" w:id="0">
    <w:p w:rsidR="00A01EB5" w:rsidRDefault="00A0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5590E"/>
    <w:rsid w:val="00065625"/>
    <w:rsid w:val="000C356B"/>
    <w:rsid w:val="000D4722"/>
    <w:rsid w:val="000F31F6"/>
    <w:rsid w:val="00135090"/>
    <w:rsid w:val="00167697"/>
    <w:rsid w:val="00195DD1"/>
    <w:rsid w:val="001E09A5"/>
    <w:rsid w:val="001E740F"/>
    <w:rsid w:val="002857F8"/>
    <w:rsid w:val="00287CE4"/>
    <w:rsid w:val="002D036D"/>
    <w:rsid w:val="00302AF6"/>
    <w:rsid w:val="00316075"/>
    <w:rsid w:val="0031759A"/>
    <w:rsid w:val="00347B26"/>
    <w:rsid w:val="00362A5E"/>
    <w:rsid w:val="003D6326"/>
    <w:rsid w:val="003E4B43"/>
    <w:rsid w:val="004439C3"/>
    <w:rsid w:val="004703B7"/>
    <w:rsid w:val="00490827"/>
    <w:rsid w:val="004B1745"/>
    <w:rsid w:val="004D7A1C"/>
    <w:rsid w:val="00543743"/>
    <w:rsid w:val="00547B79"/>
    <w:rsid w:val="005864CB"/>
    <w:rsid w:val="00591E51"/>
    <w:rsid w:val="005A57A7"/>
    <w:rsid w:val="005D08BB"/>
    <w:rsid w:val="005D19A5"/>
    <w:rsid w:val="00612B39"/>
    <w:rsid w:val="00616DC3"/>
    <w:rsid w:val="00643A42"/>
    <w:rsid w:val="006638FC"/>
    <w:rsid w:val="006826EB"/>
    <w:rsid w:val="006C631C"/>
    <w:rsid w:val="006E0347"/>
    <w:rsid w:val="006E6C08"/>
    <w:rsid w:val="00744EAE"/>
    <w:rsid w:val="00745504"/>
    <w:rsid w:val="00747D0E"/>
    <w:rsid w:val="00766F2C"/>
    <w:rsid w:val="00785D15"/>
    <w:rsid w:val="007D5762"/>
    <w:rsid w:val="00812310"/>
    <w:rsid w:val="00812CC8"/>
    <w:rsid w:val="00863C00"/>
    <w:rsid w:val="008B35EC"/>
    <w:rsid w:val="008B5CA9"/>
    <w:rsid w:val="008D0181"/>
    <w:rsid w:val="008E5A87"/>
    <w:rsid w:val="008F0025"/>
    <w:rsid w:val="00917DD8"/>
    <w:rsid w:val="00935971"/>
    <w:rsid w:val="00953406"/>
    <w:rsid w:val="00964804"/>
    <w:rsid w:val="009A75AE"/>
    <w:rsid w:val="009A76B8"/>
    <w:rsid w:val="00A01EB5"/>
    <w:rsid w:val="00A35039"/>
    <w:rsid w:val="00A5759F"/>
    <w:rsid w:val="00AF7D1F"/>
    <w:rsid w:val="00B227FD"/>
    <w:rsid w:val="00B55CC7"/>
    <w:rsid w:val="00B70CCA"/>
    <w:rsid w:val="00BA5B5D"/>
    <w:rsid w:val="00BC5668"/>
    <w:rsid w:val="00BD0327"/>
    <w:rsid w:val="00BE1C21"/>
    <w:rsid w:val="00C2259C"/>
    <w:rsid w:val="00C6658A"/>
    <w:rsid w:val="00D13960"/>
    <w:rsid w:val="00D150A0"/>
    <w:rsid w:val="00D30F02"/>
    <w:rsid w:val="00D3587D"/>
    <w:rsid w:val="00DD5EB5"/>
    <w:rsid w:val="00DE10A8"/>
    <w:rsid w:val="00E476E5"/>
    <w:rsid w:val="00E83E74"/>
    <w:rsid w:val="00EA4486"/>
    <w:rsid w:val="00EB0422"/>
    <w:rsid w:val="00EE385B"/>
    <w:rsid w:val="00EF433D"/>
    <w:rsid w:val="00EF5E26"/>
    <w:rsid w:val="00F10CD1"/>
    <w:rsid w:val="00F66455"/>
    <w:rsid w:val="00F958D3"/>
    <w:rsid w:val="00FC5345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CD6A"/>
  <w15:docId w15:val="{A6C91579-BC1E-4AED-9127-D58C7E0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8EEA-14F3-4040-BE71-87868667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2021-10-25T08:12:00Z</cp:lastPrinted>
  <dcterms:created xsi:type="dcterms:W3CDTF">2022-02-09T12:39:00Z</dcterms:created>
  <dcterms:modified xsi:type="dcterms:W3CDTF">2022-02-09T12:39:00Z</dcterms:modified>
</cp:coreProperties>
</file>